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66FE0" w14:textId="77777777" w:rsidR="00C2054C" w:rsidRDefault="00E372B0" w:rsidP="008111D4">
      <w:pPr>
        <w:pStyle w:val="Heading1"/>
      </w:pPr>
      <w:bookmarkStart w:id="0" w:name="_GoBack"/>
      <w:bookmarkEnd w:id="0"/>
      <w:r>
        <w:t xml:space="preserve">Background reading for </w:t>
      </w:r>
      <w:r w:rsidR="00831D63">
        <w:t>Quantitative Business Analysis (QBA1)</w:t>
      </w:r>
    </w:p>
    <w:p w14:paraId="67DEA0D7" w14:textId="77777777" w:rsidR="008111D4" w:rsidRPr="008111D4" w:rsidRDefault="008111D4" w:rsidP="008111D4"/>
    <w:p w14:paraId="62CD4859" w14:textId="77777777" w:rsidR="002F7B62" w:rsidRDefault="002F7B62" w:rsidP="002F7B62">
      <w:pPr>
        <w:rPr>
          <w:sz w:val="23"/>
          <w:szCs w:val="23"/>
        </w:rPr>
      </w:pPr>
      <w:r>
        <w:rPr>
          <w:sz w:val="23"/>
          <w:szCs w:val="23"/>
        </w:rPr>
        <w:t>The content of the following</w:t>
      </w:r>
      <w:r w:rsidR="008111D4">
        <w:rPr>
          <w:sz w:val="23"/>
          <w:szCs w:val="23"/>
        </w:rPr>
        <w:t xml:space="preserve"> two</w:t>
      </w:r>
      <w:r>
        <w:rPr>
          <w:sz w:val="23"/>
          <w:szCs w:val="23"/>
        </w:rPr>
        <w:t xml:space="preserve"> books is similar to QBA1, </w:t>
      </w:r>
      <w:r w:rsidR="00E14606">
        <w:rPr>
          <w:sz w:val="23"/>
          <w:szCs w:val="23"/>
        </w:rPr>
        <w:t>but not identical (</w:t>
      </w:r>
      <w:r>
        <w:rPr>
          <w:sz w:val="23"/>
          <w:szCs w:val="23"/>
        </w:rPr>
        <w:t>they also includes content that we do not cover in QBA1 and we cover material that is not in these books</w:t>
      </w:r>
      <w:r w:rsidR="00E14606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785D5BEA" w14:textId="77777777" w:rsidR="002F7B62" w:rsidRDefault="002F7B62" w:rsidP="002F7B62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Mendenhall, W., Beaver, R. and Beaver, B. (2012) </w:t>
      </w:r>
      <w:r w:rsidRPr="008C5CA3">
        <w:rPr>
          <w:i/>
          <w:sz w:val="23"/>
          <w:szCs w:val="23"/>
        </w:rPr>
        <w:t>Introduction to Probability &amp; Statistics</w:t>
      </w:r>
      <w:r>
        <w:rPr>
          <w:sz w:val="23"/>
          <w:szCs w:val="23"/>
        </w:rPr>
        <w:t xml:space="preserve"> (14th ed), Cengage Learning</w:t>
      </w:r>
    </w:p>
    <w:p w14:paraId="309C1B31" w14:textId="77777777" w:rsidR="002F7B62" w:rsidRDefault="002F7B62" w:rsidP="002F7B62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Rowntree, D., (2000) </w:t>
      </w:r>
      <w:r w:rsidRPr="008C5CA3">
        <w:rPr>
          <w:i/>
          <w:sz w:val="23"/>
          <w:szCs w:val="23"/>
        </w:rPr>
        <w:t>Statistics without tears: An introduction for non-mathematicians</w:t>
      </w:r>
      <w:r>
        <w:rPr>
          <w:sz w:val="23"/>
          <w:szCs w:val="23"/>
        </w:rPr>
        <w:t xml:space="preserve"> (2</w:t>
      </w:r>
      <w:r w:rsidRPr="00E33226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ed) Penguin Books: London.</w:t>
      </w:r>
    </w:p>
    <w:p w14:paraId="6FCBF1F4" w14:textId="77777777" w:rsidR="002F7B62" w:rsidRDefault="002F7B62">
      <w:r>
        <w:t>The following tables shows the topics covered in QBA1 and the corresponding chapters in these two books.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2835"/>
      </w:tblGrid>
      <w:tr w:rsidR="008111D4" w:rsidRPr="00CC26E8" w14:paraId="0A0D9FFF" w14:textId="77777777" w:rsidTr="008111D4">
        <w:tc>
          <w:tcPr>
            <w:tcW w:w="3119" w:type="dxa"/>
          </w:tcPr>
          <w:p w14:paraId="7E0DFE98" w14:textId="77777777" w:rsidR="00CC26E8" w:rsidRPr="00CC26E8" w:rsidRDefault="002F7B62" w:rsidP="008111D4">
            <w:pPr>
              <w:rPr>
                <w:lang w:eastAsia="en-GB"/>
              </w:rPr>
            </w:pPr>
            <w:r>
              <w:rPr>
                <w:lang w:eastAsia="en-GB"/>
              </w:rPr>
              <w:t>QBA1 sections</w:t>
            </w:r>
          </w:p>
        </w:tc>
        <w:tc>
          <w:tcPr>
            <w:tcW w:w="3402" w:type="dxa"/>
          </w:tcPr>
          <w:p w14:paraId="79ED0F37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Chapter in Mendenhall et al (2012)</w:t>
            </w:r>
          </w:p>
        </w:tc>
        <w:tc>
          <w:tcPr>
            <w:tcW w:w="2835" w:type="dxa"/>
          </w:tcPr>
          <w:p w14:paraId="166DB6E1" w14:textId="77777777" w:rsidR="00CC26E8" w:rsidRDefault="008C5CA3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Chapter  in </w:t>
            </w:r>
            <w:r w:rsidR="00CC26E8">
              <w:rPr>
                <w:lang w:eastAsia="en-GB"/>
              </w:rPr>
              <w:t>Rowntree</w:t>
            </w:r>
            <w:r w:rsidR="00D86895">
              <w:rPr>
                <w:lang w:eastAsia="en-GB"/>
              </w:rPr>
              <w:t xml:space="preserve"> (</w:t>
            </w:r>
            <w:r w:rsidR="008B7510">
              <w:rPr>
                <w:lang w:eastAsia="en-GB"/>
              </w:rPr>
              <w:t>2000</w:t>
            </w:r>
            <w:r w:rsidR="00D86895">
              <w:rPr>
                <w:lang w:eastAsia="en-GB"/>
              </w:rPr>
              <w:t>)</w:t>
            </w:r>
          </w:p>
        </w:tc>
      </w:tr>
      <w:tr w:rsidR="008111D4" w:rsidRPr="00CC26E8" w14:paraId="10F635C7" w14:textId="77777777" w:rsidTr="008111D4">
        <w:tc>
          <w:tcPr>
            <w:tcW w:w="3119" w:type="dxa"/>
          </w:tcPr>
          <w:p w14:paraId="47BFAD56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Introduction</w:t>
            </w:r>
          </w:p>
        </w:tc>
        <w:tc>
          <w:tcPr>
            <w:tcW w:w="3402" w:type="dxa"/>
          </w:tcPr>
          <w:p w14:paraId="1F69A2D2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Intro</w:t>
            </w:r>
          </w:p>
        </w:tc>
        <w:tc>
          <w:tcPr>
            <w:tcW w:w="2835" w:type="dxa"/>
          </w:tcPr>
          <w:p w14:paraId="32981F51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Intro, 1</w:t>
            </w:r>
          </w:p>
        </w:tc>
      </w:tr>
      <w:tr w:rsidR="008111D4" w:rsidRPr="00CC26E8" w14:paraId="77C45A8D" w14:textId="77777777" w:rsidTr="008111D4">
        <w:tc>
          <w:tcPr>
            <w:tcW w:w="3119" w:type="dxa"/>
          </w:tcPr>
          <w:p w14:paraId="5079D47B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Visualisation of Data</w:t>
            </w:r>
          </w:p>
        </w:tc>
        <w:tc>
          <w:tcPr>
            <w:tcW w:w="3402" w:type="dxa"/>
          </w:tcPr>
          <w:p w14:paraId="6CD94D92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2835" w:type="dxa"/>
          </w:tcPr>
          <w:p w14:paraId="6781C08A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2, 3</w:t>
            </w:r>
          </w:p>
        </w:tc>
      </w:tr>
      <w:tr w:rsidR="008111D4" w:rsidRPr="00CC26E8" w14:paraId="7C85B746" w14:textId="77777777" w:rsidTr="008111D4">
        <w:tc>
          <w:tcPr>
            <w:tcW w:w="3119" w:type="dxa"/>
          </w:tcPr>
          <w:p w14:paraId="42D2CD0E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Summarising Data</w:t>
            </w:r>
          </w:p>
        </w:tc>
        <w:tc>
          <w:tcPr>
            <w:tcW w:w="3402" w:type="dxa"/>
          </w:tcPr>
          <w:p w14:paraId="2C11796A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2, 3</w:t>
            </w:r>
          </w:p>
        </w:tc>
        <w:tc>
          <w:tcPr>
            <w:tcW w:w="2835" w:type="dxa"/>
          </w:tcPr>
          <w:p w14:paraId="356B9D7E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2, 3</w:t>
            </w:r>
          </w:p>
        </w:tc>
      </w:tr>
      <w:tr w:rsidR="008111D4" w:rsidRPr="00CC26E8" w14:paraId="19EF3E58" w14:textId="77777777" w:rsidTr="008111D4">
        <w:tc>
          <w:tcPr>
            <w:tcW w:w="3119" w:type="dxa"/>
          </w:tcPr>
          <w:p w14:paraId="30D4E3BA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Foundations of Probability</w:t>
            </w:r>
          </w:p>
        </w:tc>
        <w:tc>
          <w:tcPr>
            <w:tcW w:w="3402" w:type="dxa"/>
          </w:tcPr>
          <w:p w14:paraId="7231349A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2835" w:type="dxa"/>
          </w:tcPr>
          <w:p w14:paraId="64BBF692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8111D4" w:rsidRPr="00CC26E8" w14:paraId="164EC9E4" w14:textId="77777777" w:rsidTr="008111D4">
        <w:tc>
          <w:tcPr>
            <w:tcW w:w="3119" w:type="dxa"/>
          </w:tcPr>
          <w:p w14:paraId="0A3780C0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Probability Distributions</w:t>
            </w:r>
          </w:p>
        </w:tc>
        <w:tc>
          <w:tcPr>
            <w:tcW w:w="3402" w:type="dxa"/>
          </w:tcPr>
          <w:p w14:paraId="0E5303DE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4, 5, 6</w:t>
            </w:r>
          </w:p>
        </w:tc>
        <w:tc>
          <w:tcPr>
            <w:tcW w:w="2835" w:type="dxa"/>
          </w:tcPr>
          <w:p w14:paraId="21C82561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8111D4" w:rsidRPr="00CC26E8" w14:paraId="751114D7" w14:textId="77777777" w:rsidTr="008111D4">
        <w:tc>
          <w:tcPr>
            <w:tcW w:w="3119" w:type="dxa"/>
          </w:tcPr>
          <w:p w14:paraId="67A3E686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Inference</w:t>
            </w:r>
          </w:p>
        </w:tc>
        <w:tc>
          <w:tcPr>
            <w:tcW w:w="3402" w:type="dxa"/>
          </w:tcPr>
          <w:p w14:paraId="15CF9373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7, 8</w:t>
            </w:r>
          </w:p>
        </w:tc>
        <w:tc>
          <w:tcPr>
            <w:tcW w:w="2835" w:type="dxa"/>
          </w:tcPr>
          <w:p w14:paraId="5758646A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8111D4" w:rsidRPr="00CC26E8" w14:paraId="7A37C230" w14:textId="77777777" w:rsidTr="008111D4">
        <w:tc>
          <w:tcPr>
            <w:tcW w:w="3119" w:type="dxa"/>
          </w:tcPr>
          <w:p w14:paraId="2B59703F" w14:textId="77777777" w:rsidR="00CC26E8" w:rsidRPr="00CC26E8" w:rsidRDefault="00CC26E8" w:rsidP="008111D4">
            <w:pPr>
              <w:pStyle w:val="ListParagraph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459" w:hanging="425"/>
              <w:rPr>
                <w:lang w:eastAsia="en-GB"/>
              </w:rPr>
            </w:pPr>
            <w:r w:rsidRPr="00CC26E8">
              <w:rPr>
                <w:lang w:eastAsia="en-GB"/>
              </w:rPr>
              <w:t>Hypothesis Testing and Contingency Tables</w:t>
            </w:r>
          </w:p>
        </w:tc>
        <w:tc>
          <w:tcPr>
            <w:tcW w:w="3402" w:type="dxa"/>
          </w:tcPr>
          <w:p w14:paraId="2133E958" w14:textId="77777777" w:rsid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9, 10,</w:t>
            </w:r>
          </w:p>
          <w:p w14:paraId="5F8BA13F" w14:textId="77777777" w:rsidR="00CC26E8" w:rsidRPr="00CC26E8" w:rsidRDefault="00CC26E8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14</w:t>
            </w:r>
          </w:p>
        </w:tc>
        <w:tc>
          <w:tcPr>
            <w:tcW w:w="2835" w:type="dxa"/>
          </w:tcPr>
          <w:p w14:paraId="0AB5C448" w14:textId="77777777" w:rsidR="00CC26E8" w:rsidRDefault="00D86895" w:rsidP="008111D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6, 7</w:t>
            </w:r>
          </w:p>
        </w:tc>
      </w:tr>
    </w:tbl>
    <w:p w14:paraId="4821A8F1" w14:textId="77777777" w:rsidR="00BE7831" w:rsidRDefault="00BE7831" w:rsidP="00CC26E8"/>
    <w:p w14:paraId="4E5B08FB" w14:textId="77777777" w:rsidR="002F7B62" w:rsidRDefault="002F7B62" w:rsidP="002F7B62">
      <w:r>
        <w:t>We move quite quickly though sections 1 – 3 as it is assumed students will have encountered</w:t>
      </w:r>
      <w:r w:rsidR="001B5D0B">
        <w:t xml:space="preserve"> some of</w:t>
      </w:r>
      <w:r>
        <w:t xml:space="preserve"> this material before. Therefore, in preparation for the course, reading the chapters associated to these sections would be a good place to start. </w:t>
      </w:r>
    </w:p>
    <w:p w14:paraId="15746073" w14:textId="77777777" w:rsidR="00ED4A09" w:rsidRDefault="002F7B62">
      <w:r>
        <w:t>Of the lists of “</w:t>
      </w:r>
      <w:r w:rsidR="00831D63">
        <w:t xml:space="preserve">Expected </w:t>
      </w:r>
      <w:r>
        <w:t>Mathematical Knowledge”</w:t>
      </w:r>
      <w:r w:rsidR="00B15594">
        <w:t xml:space="preserve"> (see page 2)</w:t>
      </w:r>
      <w:r w:rsidR="00480DFE">
        <w:t>, having</w:t>
      </w:r>
      <w:r>
        <w:t xml:space="preserve"> </w:t>
      </w:r>
      <w:r w:rsidR="00ED4A09">
        <w:t xml:space="preserve">an understanding of points </w:t>
      </w:r>
      <w:r w:rsidR="002D103B">
        <w:t>1, 2, 3</w:t>
      </w:r>
      <w:r w:rsidR="00ED4A09">
        <w:t xml:space="preserve">, 4 and 7 </w:t>
      </w:r>
      <w:r>
        <w:t xml:space="preserve">is most important for QBA1.  You should </w:t>
      </w:r>
      <w:r w:rsidR="00B15594">
        <w:t xml:space="preserve">also </w:t>
      </w:r>
      <w:r>
        <w:t xml:space="preserve">be aware of </w:t>
      </w:r>
      <w:r w:rsidR="002702CF">
        <w:t xml:space="preserve">points 5, 6 and </w:t>
      </w:r>
      <w:r w:rsidR="00480DFE">
        <w:t>8; however a solid understanding is not required.</w:t>
      </w:r>
      <w:r w:rsidR="00B15594">
        <w:t xml:space="preserve"> </w:t>
      </w:r>
    </w:p>
    <w:p w14:paraId="2CA4D865" w14:textId="77777777" w:rsidR="00B1275C" w:rsidRDefault="002702CF" w:rsidP="002702CF">
      <w:r>
        <w:t>For background reading about</w:t>
      </w:r>
      <w:r w:rsidR="00480DFE">
        <w:t xml:space="preserve"> </w:t>
      </w:r>
      <w:r>
        <w:t>algebraic notation and manipulation; logs and exponentials; graphs of simple functions; and finite sum</w:t>
      </w:r>
      <w:r w:rsidR="001906FC">
        <w:t xml:space="preserve">s there are a number of sources. </w:t>
      </w:r>
    </w:p>
    <w:p w14:paraId="4B0E7282" w14:textId="77777777" w:rsidR="001B5D0B" w:rsidRDefault="00333E87" w:rsidP="001B5D0B">
      <w:pPr>
        <w:ind w:left="720"/>
      </w:pPr>
      <w:r>
        <w:t xml:space="preserve">Chapter 2 in Wisniewski, M. (2009) </w:t>
      </w:r>
      <w:r w:rsidRPr="00333E87">
        <w:rPr>
          <w:i/>
        </w:rPr>
        <w:t xml:space="preserve">Quantitative </w:t>
      </w:r>
      <w:r>
        <w:rPr>
          <w:i/>
        </w:rPr>
        <w:t>Methods for Decision Makers.</w:t>
      </w:r>
      <w:r>
        <w:t xml:space="preserve"> Pearson Education Ltd: Essex.</w:t>
      </w:r>
    </w:p>
    <w:p w14:paraId="044BBA93" w14:textId="77777777" w:rsidR="00333E87" w:rsidRDefault="001B5D0B" w:rsidP="001B5D0B">
      <w:pPr>
        <w:ind w:left="1440"/>
      </w:pPr>
      <w:r>
        <w:t xml:space="preserve">This </w:t>
      </w:r>
      <w:r w:rsidR="001906FC">
        <w:t>chapter</w:t>
      </w:r>
      <w:r>
        <w:t xml:space="preserve"> </w:t>
      </w:r>
      <w:r w:rsidR="00333E87">
        <w:t>also contains information about fractions, percentages, proportions, rounding and common mathematical notation.</w:t>
      </w:r>
      <w:r w:rsidR="001906FC">
        <w:t xml:space="preserve"> </w:t>
      </w:r>
      <w:r w:rsidR="00C20C63">
        <w:t xml:space="preserve">Chapters 3, 4, 5 and 7 also cover some of the topics in the course, however </w:t>
      </w:r>
      <w:r w:rsidR="00E85304">
        <w:t xml:space="preserve">have a managerial focus, so </w:t>
      </w:r>
      <w:r w:rsidR="00C20C63">
        <w:t>do not go into as much depth as we do.</w:t>
      </w:r>
    </w:p>
    <w:p w14:paraId="6841489B" w14:textId="77777777" w:rsidR="001B5D0B" w:rsidRDefault="001B5D0B" w:rsidP="001906FC">
      <w:pPr>
        <w:ind w:firstLine="720"/>
      </w:pPr>
      <w:r>
        <w:t>Beveridge, C. (</w:t>
      </w:r>
      <w:r w:rsidR="001906FC">
        <w:t xml:space="preserve">2011) </w:t>
      </w:r>
      <w:r>
        <w:t>Basic Maths</w:t>
      </w:r>
      <w:r w:rsidR="001906FC">
        <w:t xml:space="preserve"> for Dummies. Wiley &amp; Sons: Chichester.</w:t>
      </w:r>
    </w:p>
    <w:p w14:paraId="2B8B4CC9" w14:textId="77777777" w:rsidR="00B15594" w:rsidRDefault="001906FC" w:rsidP="00B15594">
      <w:pPr>
        <w:ind w:left="1440"/>
      </w:pPr>
      <w:r>
        <w:t>This book covers a wider range of</w:t>
      </w:r>
      <w:r w:rsidR="00FD3A1C">
        <w:t xml:space="preserve"> mathematical</w:t>
      </w:r>
      <w:r>
        <w:t xml:space="preserve"> </w:t>
      </w:r>
      <w:r w:rsidR="00FD3A1C">
        <w:t xml:space="preserve">techniques and tools </w:t>
      </w:r>
      <w:r>
        <w:t>and is available online through the University Library.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9794"/>
      </w:tblGrid>
      <w:tr w:rsidR="00B15594" w14:paraId="10F8A871" w14:textId="77777777" w:rsidTr="00E51257">
        <w:trPr>
          <w:tblCellSpacing w:w="0" w:type="dxa"/>
        </w:trPr>
        <w:tc>
          <w:tcPr>
            <w:tcW w:w="0" w:type="auto"/>
            <w:shd w:val="clear" w:color="auto" w:fill="99CCCC"/>
            <w:vAlign w:val="center"/>
          </w:tcPr>
          <w:p w14:paraId="1A0D72C5" w14:textId="77777777" w:rsidR="00B15594" w:rsidRDefault="00B15594" w:rsidP="00E51257">
            <w:pPr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Annex 3: </w:t>
            </w:r>
            <w:r w:rsidR="00831D63" w:rsidRPr="00831D6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Expected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mathematical knowledge</w:t>
            </w:r>
          </w:p>
        </w:tc>
      </w:tr>
    </w:tbl>
    <w:p w14:paraId="2E62A55C" w14:textId="77777777" w:rsidR="00B15594" w:rsidRPr="00B73922" w:rsidRDefault="00B15594" w:rsidP="00B15594">
      <w:pPr>
        <w:spacing w:before="100" w:beforeAutospacing="1" w:after="0"/>
        <w:rPr>
          <w:rFonts w:ascii="Verdana" w:hAnsi="Verdana"/>
          <w:sz w:val="20"/>
        </w:rPr>
      </w:pPr>
    </w:p>
    <w:p w14:paraId="196E77A4" w14:textId="77777777" w:rsidR="00B15594" w:rsidRPr="00B73922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 w:rsidRPr="00B73922">
        <w:rPr>
          <w:szCs w:val="18"/>
        </w:rPr>
        <w:t xml:space="preserve">Ability to use a scientific calculator </w:t>
      </w:r>
    </w:p>
    <w:p w14:paraId="3DF0916A" w14:textId="77777777" w:rsidR="00B15594" w:rsidRPr="00B73922" w:rsidRDefault="00B15594" w:rsidP="00B15594">
      <w:pPr>
        <w:spacing w:after="0"/>
        <w:rPr>
          <w:szCs w:val="18"/>
        </w:rPr>
      </w:pPr>
      <w:r w:rsidRPr="00B73922">
        <w:rPr>
          <w:szCs w:val="18"/>
        </w:rPr>
        <w:t>Capable of using and understanding functions such as exp, log, x^y on a calculator.</w:t>
      </w:r>
    </w:p>
    <w:p w14:paraId="51076A3F" w14:textId="77777777" w:rsidR="00B15594" w:rsidRPr="00B73922" w:rsidRDefault="00B15594" w:rsidP="00B15594">
      <w:pPr>
        <w:spacing w:after="0"/>
        <w:rPr>
          <w:szCs w:val="18"/>
        </w:rPr>
      </w:pPr>
    </w:p>
    <w:p w14:paraId="2483CB74" w14:textId="77777777" w:rsidR="00B15594" w:rsidRPr="00B73922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 w:rsidRPr="00B73922">
        <w:rPr>
          <w:szCs w:val="18"/>
        </w:rPr>
        <w:t xml:space="preserve">Algebraic notation and manipulation; subscripts; simple results. </w:t>
      </w:r>
    </w:p>
    <w:p w14:paraId="6F20EF70" w14:textId="77777777" w:rsidR="00B15594" w:rsidRPr="00B73922" w:rsidRDefault="00B15594" w:rsidP="00B15594">
      <w:pPr>
        <w:spacing w:after="0"/>
        <w:rPr>
          <w:szCs w:val="18"/>
        </w:rPr>
      </w:pPr>
      <w:r w:rsidRPr="00B73922">
        <w:rPr>
          <w:szCs w:val="18"/>
        </w:rPr>
        <w:t xml:space="preserve">Should feel comfortable manipulating equations and working with subscript notation.  For example, student should be able to solve a quadratic equation, such as </w:t>
      </w:r>
      <w:r w:rsidRPr="00B73922">
        <w:rPr>
          <w:position w:val="-6"/>
          <w:szCs w:val="18"/>
        </w:rPr>
        <w:object w:dxaOrig="1480" w:dyaOrig="300" w14:anchorId="77C16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45pt;height:14.8pt" o:ole="">
            <v:imagedata r:id="rId7" o:title=""/>
          </v:shape>
          <o:OLEObject Type="Embed" ProgID="Equation.DSMT4" ShapeID="_x0000_i1025" DrawAspect="Content" ObjectID="_1516704964" r:id="rId8"/>
        </w:object>
      </w:r>
      <w:r w:rsidRPr="00B73922">
        <w:rPr>
          <w:szCs w:val="18"/>
        </w:rPr>
        <w:t>.</w:t>
      </w:r>
    </w:p>
    <w:p w14:paraId="5D8E94C5" w14:textId="77777777" w:rsidR="00B15594" w:rsidRPr="00B73922" w:rsidRDefault="00B15594" w:rsidP="00B15594">
      <w:pPr>
        <w:spacing w:after="0"/>
        <w:rPr>
          <w:szCs w:val="18"/>
        </w:rPr>
      </w:pPr>
    </w:p>
    <w:p w14:paraId="41EE37C9" w14:textId="77777777" w:rsidR="00B15594" w:rsidRPr="00B73922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 w:rsidRPr="00B73922">
        <w:rPr>
          <w:szCs w:val="18"/>
        </w:rPr>
        <w:t xml:space="preserve">Logs and exponentials </w:t>
      </w:r>
    </w:p>
    <w:p w14:paraId="6ADEFB46" w14:textId="77777777" w:rsidR="00B15594" w:rsidRPr="00B73922" w:rsidRDefault="00B15594" w:rsidP="00B15594">
      <w:pPr>
        <w:spacing w:after="0"/>
        <w:rPr>
          <w:szCs w:val="18"/>
        </w:rPr>
      </w:pPr>
      <w:r w:rsidRPr="00B73922">
        <w:rPr>
          <w:szCs w:val="18"/>
        </w:rPr>
        <w:t xml:space="preserve">Have a general understanding of the use of logs and exponentials. The ability to carry out logarithmic transformations. An understanding of the logarithmic and exponential laws of summation, division etc.  </w:t>
      </w:r>
    </w:p>
    <w:p w14:paraId="075AA3CB" w14:textId="77777777" w:rsidR="00B15594" w:rsidRPr="002562E3" w:rsidRDefault="00B15594" w:rsidP="00B15594">
      <w:pPr>
        <w:spacing w:after="0"/>
        <w:rPr>
          <w:color w:val="FF0000"/>
          <w:szCs w:val="18"/>
        </w:rPr>
      </w:pPr>
    </w:p>
    <w:p w14:paraId="3B4A63DC" w14:textId="77777777" w:rsidR="00B15594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>
        <w:rPr>
          <w:szCs w:val="18"/>
        </w:rPr>
        <w:t xml:space="preserve">Graphs of simple functions. </w:t>
      </w:r>
    </w:p>
    <w:p w14:paraId="2FE5C2D8" w14:textId="77777777" w:rsidR="00B15594" w:rsidRDefault="00B15594" w:rsidP="00B15594">
      <w:pPr>
        <w:spacing w:after="0"/>
        <w:rPr>
          <w:szCs w:val="18"/>
        </w:rPr>
      </w:pPr>
      <w:r>
        <w:rPr>
          <w:szCs w:val="18"/>
        </w:rPr>
        <w:t>Ability to draw and interpret graphs of simple linear and non-linear mathematical functions.</w:t>
      </w:r>
    </w:p>
    <w:p w14:paraId="1C709CBB" w14:textId="77777777" w:rsidR="00B15594" w:rsidRDefault="00B15594" w:rsidP="00B15594">
      <w:pPr>
        <w:spacing w:after="0"/>
        <w:rPr>
          <w:szCs w:val="18"/>
        </w:rPr>
      </w:pPr>
    </w:p>
    <w:p w14:paraId="2739779E" w14:textId="77777777" w:rsidR="00B15594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>
        <w:rPr>
          <w:szCs w:val="18"/>
        </w:rPr>
        <w:t xml:space="preserve">Differentiation (including differentiation of a product). The idea of a differential equation </w:t>
      </w:r>
    </w:p>
    <w:p w14:paraId="62AEBF63" w14:textId="77777777" w:rsidR="00B15594" w:rsidRDefault="00B15594" w:rsidP="00B15594">
      <w:pPr>
        <w:spacing w:after="0"/>
        <w:rPr>
          <w:szCs w:val="18"/>
        </w:rPr>
      </w:pPr>
      <w:r>
        <w:rPr>
          <w:szCs w:val="18"/>
        </w:rPr>
        <w:t>An understanding of when differentiation is used. Ability to carry out differentiation on different functions, including functions that include the product of two variables. A basic understanding of how to solve equations that involve one or more derivatives.</w:t>
      </w:r>
    </w:p>
    <w:p w14:paraId="64F134BF" w14:textId="77777777" w:rsidR="00B15594" w:rsidRDefault="00B15594" w:rsidP="00B15594">
      <w:pPr>
        <w:spacing w:after="0"/>
        <w:rPr>
          <w:szCs w:val="18"/>
        </w:rPr>
      </w:pPr>
    </w:p>
    <w:p w14:paraId="14815FED" w14:textId="77777777" w:rsidR="00B15594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>
        <w:rPr>
          <w:szCs w:val="18"/>
        </w:rPr>
        <w:t xml:space="preserve">An understanding of what integration is. Integration of polynomials and ex; integration by parts </w:t>
      </w:r>
    </w:p>
    <w:p w14:paraId="4249C716" w14:textId="77777777" w:rsidR="00B15594" w:rsidRDefault="00B15594" w:rsidP="00B15594">
      <w:pPr>
        <w:spacing w:after="0"/>
        <w:rPr>
          <w:szCs w:val="18"/>
        </w:rPr>
      </w:pPr>
      <w:r>
        <w:rPr>
          <w:szCs w:val="18"/>
        </w:rPr>
        <w:t xml:space="preserve">Understanding of when the use of integration is appropriate and the ability to carry out the integration of functions that contain variables with nonnegative integer powers.  </w:t>
      </w:r>
    </w:p>
    <w:p w14:paraId="2367757B" w14:textId="77777777" w:rsidR="00B15594" w:rsidRDefault="00B15594" w:rsidP="00B15594">
      <w:pPr>
        <w:spacing w:after="0"/>
        <w:rPr>
          <w:szCs w:val="18"/>
        </w:rPr>
      </w:pPr>
    </w:p>
    <w:p w14:paraId="5312A508" w14:textId="77777777" w:rsidR="00B15594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>
        <w:rPr>
          <w:szCs w:val="18"/>
        </w:rPr>
        <w:t>Finite sums. Infinite sums of x</w:t>
      </w:r>
      <w:r>
        <w:rPr>
          <w:rFonts w:ascii="Times" w:hAnsi="Times"/>
          <w:szCs w:val="18"/>
          <w:vertAlign w:val="superscript"/>
        </w:rPr>
        <w:t>i</w:t>
      </w:r>
      <w:r>
        <w:rPr>
          <w:szCs w:val="18"/>
        </w:rPr>
        <w:t xml:space="preserve"> and x</w:t>
      </w:r>
      <w:r>
        <w:rPr>
          <w:rFonts w:ascii="Times" w:hAnsi="Times"/>
          <w:szCs w:val="18"/>
          <w:vertAlign w:val="superscript"/>
        </w:rPr>
        <w:t>i</w:t>
      </w:r>
      <w:r>
        <w:rPr>
          <w:szCs w:val="18"/>
        </w:rPr>
        <w:t xml:space="preserve"> /i! </w:t>
      </w:r>
    </w:p>
    <w:p w14:paraId="0D520A56" w14:textId="77777777" w:rsidR="00B15594" w:rsidRDefault="00B15594" w:rsidP="00B15594">
      <w:pPr>
        <w:spacing w:after="0"/>
        <w:rPr>
          <w:szCs w:val="18"/>
        </w:rPr>
      </w:pPr>
      <w:r>
        <w:rPr>
          <w:szCs w:val="20"/>
        </w:rPr>
        <w:t>Ability to carry out sums of arithmetic and geometric series.</w:t>
      </w:r>
    </w:p>
    <w:p w14:paraId="1F634456" w14:textId="77777777" w:rsidR="00B15594" w:rsidRDefault="00B15594" w:rsidP="00B15594">
      <w:pPr>
        <w:spacing w:after="0"/>
        <w:rPr>
          <w:szCs w:val="18"/>
        </w:rPr>
      </w:pPr>
      <w:r>
        <w:rPr>
          <w:szCs w:val="18"/>
        </w:rPr>
        <w:t>Ability to sum infinite series of elements that have the form  ∑x</w:t>
      </w:r>
      <w:r>
        <w:rPr>
          <w:rFonts w:ascii="Times" w:hAnsi="Times"/>
          <w:szCs w:val="18"/>
          <w:vertAlign w:val="superscript"/>
        </w:rPr>
        <w:t>i</w:t>
      </w:r>
      <w:r>
        <w:rPr>
          <w:szCs w:val="18"/>
        </w:rPr>
        <w:t xml:space="preserve"> or ∑x</w:t>
      </w:r>
      <w:r>
        <w:rPr>
          <w:rFonts w:ascii="Times" w:hAnsi="Times"/>
          <w:szCs w:val="18"/>
          <w:vertAlign w:val="superscript"/>
        </w:rPr>
        <w:t>i</w:t>
      </w:r>
      <w:r>
        <w:rPr>
          <w:szCs w:val="18"/>
        </w:rPr>
        <w:t>/i!, where, for example, i = 1 to ∞</w:t>
      </w:r>
    </w:p>
    <w:p w14:paraId="3E414878" w14:textId="77777777" w:rsidR="00B15594" w:rsidRDefault="00B15594" w:rsidP="00B15594">
      <w:pPr>
        <w:spacing w:after="0"/>
        <w:rPr>
          <w:szCs w:val="18"/>
        </w:rPr>
      </w:pPr>
    </w:p>
    <w:p w14:paraId="69860A65" w14:textId="77777777" w:rsidR="00B15594" w:rsidRDefault="00B15594" w:rsidP="00B15594">
      <w:pPr>
        <w:numPr>
          <w:ilvl w:val="0"/>
          <w:numId w:val="3"/>
        </w:numPr>
        <w:spacing w:after="0" w:line="240" w:lineRule="auto"/>
        <w:rPr>
          <w:szCs w:val="18"/>
        </w:rPr>
      </w:pPr>
      <w:r>
        <w:rPr>
          <w:szCs w:val="18"/>
        </w:rPr>
        <w:t>Simple manipulation of vectors and matrices</w:t>
      </w:r>
    </w:p>
    <w:p w14:paraId="5649A69F" w14:textId="77777777" w:rsidR="00B15594" w:rsidRDefault="00B15594" w:rsidP="00B15594">
      <w:pPr>
        <w:spacing w:after="0"/>
        <w:rPr>
          <w:szCs w:val="18"/>
        </w:rPr>
      </w:pPr>
      <w:r>
        <w:rPr>
          <w:szCs w:val="18"/>
        </w:rPr>
        <w:t>Ability to carry out simple manipulation, such as addition, subtraction and multiplication of vectors and matrices.</w:t>
      </w:r>
    </w:p>
    <w:p w14:paraId="628A0B1C" w14:textId="77777777" w:rsidR="00B15594" w:rsidRDefault="00B15594" w:rsidP="00B15594">
      <w:pPr>
        <w:spacing w:after="0"/>
      </w:pPr>
    </w:p>
    <w:p w14:paraId="64D919D8" w14:textId="77777777" w:rsidR="001906FC" w:rsidRPr="00333E87" w:rsidRDefault="001906FC" w:rsidP="001B5D0B">
      <w:pPr>
        <w:ind w:left="1440"/>
      </w:pPr>
    </w:p>
    <w:sectPr w:rsidR="001906FC" w:rsidRPr="00333E87" w:rsidSect="00E8530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05E4D" w14:textId="77777777" w:rsidR="00B512A0" w:rsidRDefault="00B512A0" w:rsidP="00E85304">
      <w:pPr>
        <w:spacing w:after="0" w:line="240" w:lineRule="auto"/>
      </w:pPr>
      <w:r>
        <w:separator/>
      </w:r>
    </w:p>
  </w:endnote>
  <w:endnote w:type="continuationSeparator" w:id="0">
    <w:p w14:paraId="4860E79F" w14:textId="77777777" w:rsidR="00B512A0" w:rsidRDefault="00B512A0" w:rsidP="00E8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56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B2C36" w14:textId="77777777" w:rsidR="00E85304" w:rsidRDefault="00E85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2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CBBE66" w14:textId="77777777" w:rsidR="00E85304" w:rsidRDefault="00E853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3744" w14:textId="77777777" w:rsidR="00B512A0" w:rsidRDefault="00B512A0" w:rsidP="00E85304">
      <w:pPr>
        <w:spacing w:after="0" w:line="240" w:lineRule="auto"/>
      </w:pPr>
      <w:r>
        <w:separator/>
      </w:r>
    </w:p>
  </w:footnote>
  <w:footnote w:type="continuationSeparator" w:id="0">
    <w:p w14:paraId="05D617D2" w14:textId="77777777" w:rsidR="00B512A0" w:rsidRDefault="00B512A0" w:rsidP="00E8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B8"/>
    <w:multiLevelType w:val="hybridMultilevel"/>
    <w:tmpl w:val="6D5CCE48"/>
    <w:lvl w:ilvl="0" w:tplc="63DA37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106A7E"/>
    <w:multiLevelType w:val="hybridMultilevel"/>
    <w:tmpl w:val="726E528E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47428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60F5A"/>
    <w:multiLevelType w:val="hybridMultilevel"/>
    <w:tmpl w:val="4AE6B472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7630C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65D2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6C1AD5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12601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F2AE1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D27BD"/>
    <w:multiLevelType w:val="hybridMultilevel"/>
    <w:tmpl w:val="B846E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E5B27"/>
    <w:multiLevelType w:val="hybridMultilevel"/>
    <w:tmpl w:val="7AC8AC1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43395"/>
    <w:multiLevelType w:val="hybridMultilevel"/>
    <w:tmpl w:val="266A30E2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5701A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802400"/>
    <w:multiLevelType w:val="hybridMultilevel"/>
    <w:tmpl w:val="6D5CCE48"/>
    <w:lvl w:ilvl="0" w:tplc="63DA37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94A0DFC"/>
    <w:multiLevelType w:val="hybridMultilevel"/>
    <w:tmpl w:val="7BE6B796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345C"/>
    <w:multiLevelType w:val="hybridMultilevel"/>
    <w:tmpl w:val="3F6A2A40"/>
    <w:lvl w:ilvl="0" w:tplc="61E4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ACC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05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49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487C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08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8C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3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46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B0"/>
    <w:rsid w:val="00057157"/>
    <w:rsid w:val="00057A96"/>
    <w:rsid w:val="001906FC"/>
    <w:rsid w:val="001B5C4E"/>
    <w:rsid w:val="001B5D0B"/>
    <w:rsid w:val="002702CF"/>
    <w:rsid w:val="002B7292"/>
    <w:rsid w:val="002D103B"/>
    <w:rsid w:val="002F7B62"/>
    <w:rsid w:val="00332501"/>
    <w:rsid w:val="00333E87"/>
    <w:rsid w:val="00480DFE"/>
    <w:rsid w:val="00583D7F"/>
    <w:rsid w:val="008111D4"/>
    <w:rsid w:val="00831D63"/>
    <w:rsid w:val="008B7510"/>
    <w:rsid w:val="008C5CA3"/>
    <w:rsid w:val="00A30549"/>
    <w:rsid w:val="00B1275C"/>
    <w:rsid w:val="00B15594"/>
    <w:rsid w:val="00B512A0"/>
    <w:rsid w:val="00B60273"/>
    <w:rsid w:val="00BE7831"/>
    <w:rsid w:val="00C2054C"/>
    <w:rsid w:val="00C20C63"/>
    <w:rsid w:val="00CC26E8"/>
    <w:rsid w:val="00D20D32"/>
    <w:rsid w:val="00D86895"/>
    <w:rsid w:val="00E14606"/>
    <w:rsid w:val="00E33226"/>
    <w:rsid w:val="00E372B0"/>
    <w:rsid w:val="00E85304"/>
    <w:rsid w:val="00ED4A09"/>
    <w:rsid w:val="00F05847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AEA7D"/>
  <w15:docId w15:val="{6BF68F4D-BEE3-4FC0-ABEF-B31F43AD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0273"/>
    <w:rPr>
      <w:b/>
      <w:bCs/>
    </w:rPr>
  </w:style>
  <w:style w:type="paragraph" w:styleId="ListParagraph">
    <w:name w:val="List Paragraph"/>
    <w:basedOn w:val="Normal"/>
    <w:uiPriority w:val="34"/>
    <w:qFormat/>
    <w:rsid w:val="00057157"/>
    <w:pPr>
      <w:ind w:left="720"/>
      <w:contextualSpacing/>
    </w:pPr>
  </w:style>
  <w:style w:type="table" w:styleId="TableGrid">
    <w:name w:val="Table Grid"/>
    <w:basedOn w:val="TableNormal"/>
    <w:uiPriority w:val="59"/>
    <w:rsid w:val="00CC2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1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8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304"/>
  </w:style>
  <w:style w:type="paragraph" w:styleId="Footer">
    <w:name w:val="footer"/>
    <w:basedOn w:val="Normal"/>
    <w:link w:val="FooterChar"/>
    <w:uiPriority w:val="99"/>
    <w:unhideWhenUsed/>
    <w:rsid w:val="00E85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oleObject" Target="embeddings/oleObject1.bin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Marshall</dc:creator>
  <cp:lastModifiedBy>e.mccall@strath.ac.uk</cp:lastModifiedBy>
  <cp:revision>2</cp:revision>
  <dcterms:created xsi:type="dcterms:W3CDTF">2016-02-11T14:10:00Z</dcterms:created>
  <dcterms:modified xsi:type="dcterms:W3CDTF">2016-02-11T14:10:00Z</dcterms:modified>
</cp:coreProperties>
</file>